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2CF" w:rsidRDefault="003122CF" w:rsidP="003122CF">
      <w:pPr>
        <w:ind w:leftChars="100" w:left="210" w:firstLineChars="100" w:firstLine="210"/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</w:pPr>
      <w:r>
        <w:rPr>
          <w:noProof/>
        </w:rPr>
        <w:drawing>
          <wp:inline distT="0" distB="0" distL="0" distR="0" wp14:anchorId="1F018ABE" wp14:editId="3ECD4EB0">
            <wp:extent cx="5274310" cy="2046847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6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7A71" w:rsidRDefault="003122CF" w:rsidP="003122CF">
      <w:pPr>
        <w:ind w:leftChars="100" w:left="210" w:firstLineChars="100" w:firstLine="330"/>
      </w:pP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《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连续铸钢生产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》是有色金属智能冶金技术专业的专业核心课程。开设于2005年，20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22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年立项为“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院级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精品在线开放课程”。资源类型丰富且逻辑合理、内容多样且完整精炼，能够满足学校教学和校外学习者的需求。在智慧职教MOOC平台上已经开设，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课程通过</w:t>
      </w:r>
      <w:bookmarkStart w:id="0" w:name="_GoBack"/>
      <w:bookmarkEnd w:id="0"/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率为94.9%</w:t>
      </w:r>
      <w:r>
        <w:rPr>
          <w:rFonts w:ascii="仿宋_GB2312" w:eastAsia="仿宋_GB2312" w:hint="eastAsia"/>
          <w:color w:val="333333"/>
          <w:sz w:val="33"/>
          <w:szCs w:val="33"/>
          <w:shd w:val="clear" w:color="auto" w:fill="FFFFFF"/>
        </w:rPr>
        <w:t>。</w:t>
      </w:r>
    </w:p>
    <w:sectPr w:rsidR="00807A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CBE"/>
    <w:rsid w:val="001D3CBE"/>
    <w:rsid w:val="003122CF"/>
    <w:rsid w:val="00384341"/>
    <w:rsid w:val="00946CBB"/>
    <w:rsid w:val="00BD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52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52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527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D5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</Words>
  <Characters>112</Characters>
  <Application>Microsoft Office Word</Application>
  <DocSecurity>0</DocSecurity>
  <Lines>1</Lines>
  <Paragraphs>1</Paragraphs>
  <ScaleCrop>false</ScaleCrop>
  <Company>LTSC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2024-07-05T03:03:00Z</dcterms:created>
  <dcterms:modified xsi:type="dcterms:W3CDTF">2024-07-11T03:29:00Z</dcterms:modified>
</cp:coreProperties>
</file>